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111/562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Беляевой Светланы Николаевны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Беляевой Светланы Николаевны,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Беляеву Светлану Николаевну, 19 декабря 1976 года рождения, выдвинутую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 xml:space="preserve">16 часов </w:t>
      </w:r>
      <w:r>
        <w:rPr>
          <w:rFonts w:hint="default" w:ascii="Times New Roman CYR" w:hAnsi="Times New Roman CYR"/>
          <w:lang w:val="ru-RU"/>
        </w:rPr>
        <w:t>15</w:t>
      </w:r>
      <w:bookmarkStart w:id="3" w:name="_GoBack"/>
      <w:bookmarkEnd w:id="3"/>
      <w:r>
        <w:rPr>
          <w:rFonts w:ascii="Times New Roman CYR" w:hAnsi="Times New Roman CYR"/>
        </w:rPr>
        <w:t xml:space="preserve"> минуты.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Беляевой Светлане Николаевне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F5779"/>
    <w:rsid w:val="002055AA"/>
    <w:rsid w:val="00207271"/>
    <w:rsid w:val="002241A4"/>
    <w:rsid w:val="002275DF"/>
    <w:rsid w:val="00231987"/>
    <w:rsid w:val="00237C45"/>
    <w:rsid w:val="0025407F"/>
    <w:rsid w:val="0025780D"/>
    <w:rsid w:val="00257E5F"/>
    <w:rsid w:val="00267700"/>
    <w:rsid w:val="00280744"/>
    <w:rsid w:val="002F6143"/>
    <w:rsid w:val="00304AFE"/>
    <w:rsid w:val="0031449A"/>
    <w:rsid w:val="00323165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C1AE2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8D6DD6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BC6FE0"/>
    <w:rsid w:val="00C2637D"/>
    <w:rsid w:val="00C43E2E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3178"/>
    <w:rsid w:val="00E35B72"/>
    <w:rsid w:val="00E72850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34D257A7"/>
    <w:rsid w:val="40E341D2"/>
    <w:rsid w:val="40FC4C7A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373</Words>
  <Characters>2131</Characters>
  <Lines>17</Lines>
  <Paragraphs>4</Paragraphs>
  <TotalTime>4</TotalTime>
  <ScaleCrop>false</ScaleCrop>
  <LinksUpToDate>false</LinksUpToDate>
  <CharactersWithSpaces>2500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2025-08-01T05:39:00Z</dcterms:created>
  <dc:creator>ГАС "Выборы"</dc:creator>
  <cp:lastModifiedBy>Polzovatel</cp:lastModifiedBy>
  <cp:lastPrinted>2025-08-02T05:51:30Z</cp:lastPrinted>
  <dcterms:modified xsi:type="dcterms:W3CDTF">2025-08-02T05:52:26Z</dcterms:modified>
  <dc:title>ИЗБИРАТЕЛЬНАЯ КОМИССИЯ ЛИПЕЦКОЙ ОБЛАСТИ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